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Bjuv kommunfullmäktige</w:t>
      </w:r>
    </w:p>
    <w:p>
      <w:pPr>
        <w:pStyle w:val="Heading1"/>
      </w:pPr>
      <w:r>
        <w:t xml:space="preserve">Fler vuxna i skolan för ökad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på ökade anmälningar om ordningsstörningar i Bjuvs skolor. Fler vuxna på raster och i korridorer minskar konflikter och förbättrar studiero enligt Skolverkets 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Bjuv kommunfullmäktige beslutar att öka antalet vuxna i skolan med 8 heltidsanställda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medel tas från befintlig skolbudget omfördelning samt 800 000 kronor i nytt anslag.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ges mandat att prioritera rastvakter och stödpersonal.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utvärderas efter ett år med elevenkät.</w:t>
      </w:r>
    </w:p>
    <w:p>
      <w:pPr>
        <w:spacing w:before="360"/>
      </w:pPr>
    </w:p>
    <w:p>
      <w:r>
        <w:t xml:space="preserve">Bjuv,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2026-07-14T02:26:26.217Z</dcterms:created>
  <dcterms:modified xsi:type="dcterms:W3CDTF">2026-07-14T02:26:26.217Z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